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A8" w:rsidRPr="00102FA8" w:rsidRDefault="00102FA8" w:rsidP="00102FA8">
      <w:pPr>
        <w:spacing w:before="100" w:beforeAutospacing="1" w:after="100" w:afterAutospacing="1" w:line="207" w:lineRule="atLeast"/>
        <w:jc w:val="center"/>
        <w:outlineLvl w:val="1"/>
        <w:rPr>
          <w:rFonts w:ascii="Verdana" w:eastAsia="Times New Roman" w:hAnsi="Verdana" w:cs="Times New Roman"/>
          <w:color w:val="000000"/>
          <w:sz w:val="26"/>
          <w:szCs w:val="26"/>
        </w:rPr>
      </w:pPr>
      <w:r w:rsidRPr="00102FA8">
        <w:rPr>
          <w:rFonts w:ascii="Verdana" w:eastAsia="Times New Roman" w:hAnsi="Verdana" w:cs="Times New Roman"/>
          <w:color w:val="000000"/>
          <w:sz w:val="26"/>
          <w:szCs w:val="26"/>
        </w:rPr>
        <w:t xml:space="preserve">25 Reasons to Use Visual Strategies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We use visual tools to accomplish a purpose. Perhaps we use something visual to help a student understand a situation. Maybe we provide a visual prompt so a student can accomplish a task more independently.</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tbl>
      <w:tblPr>
        <w:tblW w:w="0" w:type="auto"/>
        <w:tblCellSpacing w:w="15" w:type="dxa"/>
        <w:tblCellMar>
          <w:top w:w="15" w:type="dxa"/>
          <w:left w:w="15" w:type="dxa"/>
          <w:bottom w:w="15" w:type="dxa"/>
          <w:right w:w="15" w:type="dxa"/>
        </w:tblCellMar>
        <w:tblLook w:val="04A0"/>
      </w:tblPr>
      <w:tblGrid>
        <w:gridCol w:w="143"/>
        <w:gridCol w:w="7805"/>
        <w:gridCol w:w="196"/>
        <w:gridCol w:w="1163"/>
        <w:gridCol w:w="143"/>
      </w:tblGrid>
      <w:tr w:rsidR="00102FA8" w:rsidRPr="00102FA8" w:rsidTr="00102FA8">
        <w:trPr>
          <w:tblCellSpacing w:w="15" w:type="dxa"/>
        </w:trPr>
        <w:tc>
          <w:tcPr>
            <w:tcW w:w="0" w:type="auto"/>
            <w:tcMar>
              <w:top w:w="58" w:type="dxa"/>
              <w:left w:w="15" w:type="dxa"/>
              <w:bottom w:w="58" w:type="dxa"/>
              <w:right w:w="15" w:type="dxa"/>
            </w:tcMar>
            <w:hideMark/>
          </w:tcPr>
          <w:p w:rsidR="00102FA8" w:rsidRPr="00102FA8" w:rsidRDefault="00102FA8" w:rsidP="00102FA8">
            <w:pPr>
              <w:spacing w:after="0" w:line="207" w:lineRule="atLeast"/>
              <w:rPr>
                <w:rFonts w:ascii="Verdana" w:eastAsia="Times New Roman" w:hAnsi="Verdana" w:cs="Times New Roman"/>
                <w:color w:val="000000"/>
                <w:sz w:val="24"/>
                <w:szCs w:val="24"/>
              </w:rPr>
            </w:pPr>
            <w:r w:rsidRPr="00102FA8">
              <w:rPr>
                <w:rFonts w:ascii="Verdana" w:eastAsia="Times New Roman" w:hAnsi="Verdana" w:cs="Times New Roman"/>
                <w:color w:val="000000"/>
                <w:sz w:val="24"/>
                <w:szCs w:val="24"/>
              </w:rPr>
              <w:t xml:space="preserve">  </w:t>
            </w:r>
          </w:p>
        </w:tc>
        <w:tc>
          <w:tcPr>
            <w:tcW w:w="0" w:type="auto"/>
            <w:tcMar>
              <w:top w:w="58" w:type="dxa"/>
              <w:left w:w="15" w:type="dxa"/>
              <w:bottom w:w="58" w:type="dxa"/>
              <w:right w:w="15" w:type="dxa"/>
            </w:tcMar>
            <w:vAlign w:val="center"/>
            <w:hideMark/>
          </w:tcPr>
          <w:p w:rsidR="00102FA8" w:rsidRPr="00102FA8" w:rsidRDefault="00102FA8" w:rsidP="00102FA8">
            <w:pPr>
              <w:spacing w:after="0" w:line="207" w:lineRule="atLeast"/>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6093460" cy="4572000"/>
                  <wp:effectExtent l="19050" t="0" r="2540" b="0"/>
                  <wp:docPr id="1" name="Picture 1" descr="http://www.usevisualstrategies.com/Libraries/Misc_Website_Art/MVC-011Slooking_a_t_picture_wallet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evisualstrategies.com/Libraries/Misc_Website_Art/MVC-011Slooking_a_t_picture_wallet_1.sflb.ashx"/>
                          <pic:cNvPicPr>
                            <a:picLocks noChangeAspect="1" noChangeArrowheads="1"/>
                          </pic:cNvPicPr>
                        </pic:nvPicPr>
                        <pic:blipFill>
                          <a:blip r:embed="rId5" cstate="print"/>
                          <a:srcRect/>
                          <a:stretch>
                            <a:fillRect/>
                          </a:stretch>
                        </pic:blipFill>
                        <pic:spPr bwMode="auto">
                          <a:xfrm>
                            <a:off x="0" y="0"/>
                            <a:ext cx="6093460" cy="4572000"/>
                          </a:xfrm>
                          <a:prstGeom prst="rect">
                            <a:avLst/>
                          </a:prstGeom>
                          <a:noFill/>
                          <a:ln w="9525">
                            <a:noFill/>
                            <a:miter lim="800000"/>
                            <a:headEnd/>
                            <a:tailEnd/>
                          </a:ln>
                        </pic:spPr>
                      </pic:pic>
                    </a:graphicData>
                  </a:graphic>
                </wp:inline>
              </w:drawing>
            </w:r>
          </w:p>
        </w:tc>
        <w:tc>
          <w:tcPr>
            <w:tcW w:w="0" w:type="auto"/>
            <w:tcMar>
              <w:top w:w="58" w:type="dxa"/>
              <w:left w:w="15" w:type="dxa"/>
              <w:bottom w:w="58" w:type="dxa"/>
              <w:right w:w="15" w:type="dxa"/>
            </w:tcMar>
            <w:hideMark/>
          </w:tcPr>
          <w:p w:rsidR="00102FA8" w:rsidRPr="00102FA8" w:rsidRDefault="00102FA8" w:rsidP="00102FA8">
            <w:pPr>
              <w:spacing w:after="0" w:line="207" w:lineRule="atLeast"/>
              <w:rPr>
                <w:rFonts w:ascii="Verdana" w:eastAsia="Times New Roman" w:hAnsi="Verdana" w:cs="Times New Roman"/>
                <w:color w:val="000000"/>
                <w:sz w:val="24"/>
                <w:szCs w:val="24"/>
              </w:rPr>
            </w:pPr>
            <w:r w:rsidRPr="00102FA8">
              <w:rPr>
                <w:rFonts w:ascii="Verdana" w:eastAsia="Times New Roman" w:hAnsi="Verdana" w:cs="Times New Roman"/>
                <w:color w:val="000000"/>
                <w:sz w:val="24"/>
                <w:szCs w:val="24"/>
              </w:rPr>
              <w:t xml:space="preserve">   </w:t>
            </w:r>
          </w:p>
        </w:tc>
        <w:tc>
          <w:tcPr>
            <w:tcW w:w="0" w:type="auto"/>
            <w:tcMar>
              <w:top w:w="58" w:type="dxa"/>
              <w:left w:w="15" w:type="dxa"/>
              <w:bottom w:w="58" w:type="dxa"/>
              <w:right w:w="15" w:type="dxa"/>
            </w:tcMar>
            <w:vAlign w:val="center"/>
            <w:hideMark/>
          </w:tcPr>
          <w:p w:rsidR="00102FA8" w:rsidRPr="00102FA8" w:rsidRDefault="00102FA8" w:rsidP="00102FA8">
            <w:pPr>
              <w:spacing w:before="100" w:beforeAutospacing="1" w:after="100" w:afterAutospacing="1" w:line="207" w:lineRule="atLeast"/>
              <w:textAlignment w:val="center"/>
              <w:rPr>
                <w:rFonts w:ascii="Verdana" w:eastAsia="Times New Roman" w:hAnsi="Verdana" w:cs="Times New Roman"/>
                <w:color w:val="000000"/>
              </w:rPr>
            </w:pPr>
            <w:r w:rsidRPr="00102FA8">
              <w:rPr>
                <w:rFonts w:ascii="Verdana" w:eastAsia="Times New Roman" w:hAnsi="Verdana" w:cs="Times New Roman"/>
                <w:color w:val="000000"/>
              </w:rPr>
              <w:t xml:space="preserve">Think of the </w:t>
            </w:r>
            <w:r w:rsidRPr="00102FA8">
              <w:rPr>
                <w:rFonts w:ascii="Verdana" w:eastAsia="Times New Roman" w:hAnsi="Verdana" w:cs="Times New Roman"/>
                <w:b/>
                <w:bCs/>
                <w:color w:val="000000"/>
              </w:rPr>
              <w:t>purpose</w:t>
            </w:r>
            <w:r w:rsidRPr="00102FA8">
              <w:rPr>
                <w:rFonts w:ascii="Verdana" w:eastAsia="Times New Roman" w:hAnsi="Verdana" w:cs="Times New Roman"/>
                <w:color w:val="000000"/>
              </w:rPr>
              <w:t xml:space="preserve"> of a visual tool. What does the student need to understand? What would help him participate better? Defining the </w:t>
            </w:r>
            <w:r w:rsidRPr="00102FA8">
              <w:rPr>
                <w:rFonts w:ascii="Verdana" w:eastAsia="Times New Roman" w:hAnsi="Verdana" w:cs="Times New Roman"/>
                <w:b/>
                <w:bCs/>
                <w:color w:val="000000"/>
              </w:rPr>
              <w:t>need</w:t>
            </w:r>
            <w:r w:rsidRPr="00102FA8">
              <w:rPr>
                <w:rFonts w:ascii="Verdana" w:eastAsia="Times New Roman" w:hAnsi="Verdana" w:cs="Times New Roman"/>
                <w:color w:val="000000"/>
              </w:rPr>
              <w:t xml:space="preserve"> guides the decision about what kind of tool to use. Identifying the purpose of a visual tool helps us know how to use it.</w:t>
            </w:r>
          </w:p>
        </w:tc>
        <w:tc>
          <w:tcPr>
            <w:tcW w:w="0" w:type="auto"/>
            <w:tcMar>
              <w:top w:w="58" w:type="dxa"/>
              <w:left w:w="15" w:type="dxa"/>
              <w:bottom w:w="58" w:type="dxa"/>
              <w:right w:w="15" w:type="dxa"/>
            </w:tcMar>
            <w:hideMark/>
          </w:tcPr>
          <w:p w:rsidR="00102FA8" w:rsidRPr="00102FA8" w:rsidRDefault="00102FA8" w:rsidP="00102FA8">
            <w:pPr>
              <w:spacing w:after="0" w:line="207" w:lineRule="atLeast"/>
              <w:rPr>
                <w:rFonts w:ascii="Verdana" w:eastAsia="Times New Roman" w:hAnsi="Verdana" w:cs="Times New Roman"/>
                <w:color w:val="000000"/>
                <w:sz w:val="24"/>
                <w:szCs w:val="24"/>
              </w:rPr>
            </w:pPr>
            <w:r w:rsidRPr="00102FA8">
              <w:rPr>
                <w:rFonts w:ascii="Verdana" w:eastAsia="Times New Roman" w:hAnsi="Verdana" w:cs="Times New Roman"/>
                <w:color w:val="000000"/>
                <w:sz w:val="24"/>
                <w:szCs w:val="24"/>
              </w:rPr>
              <w:t xml:space="preserve">  </w:t>
            </w:r>
          </w:p>
        </w:tc>
      </w:tr>
    </w:tbl>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lastRenderedPageBreak/>
        <w:t xml:space="preserve">Is your school or home environment set up to provide the visual support your students can benefit from?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xml:space="preserve">How many of these functions are accomplished in your environment with visual tools?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xml:space="preserve">Count how many ways your students currently receive </w:t>
      </w:r>
      <w:r w:rsidRPr="00102FA8">
        <w:rPr>
          <w:rFonts w:ascii="Verdana" w:eastAsia="Times New Roman" w:hAnsi="Verdana" w:cs="Times New Roman"/>
          <w:b/>
          <w:bCs/>
          <w:color w:val="000000"/>
        </w:rPr>
        <w:t>visual</w:t>
      </w:r>
      <w:r w:rsidRPr="00102FA8">
        <w:rPr>
          <w:rFonts w:ascii="Verdana" w:eastAsia="Times New Roman" w:hAnsi="Verdana" w:cs="Times New Roman"/>
          <w:color w:val="000000"/>
        </w:rPr>
        <w:t xml:space="preserve"> support. </w:t>
      </w:r>
    </w:p>
    <w:p w:rsidR="00102FA8" w:rsidRPr="00102FA8" w:rsidRDefault="00102FA8" w:rsidP="00102FA8">
      <w:pPr>
        <w:spacing w:after="115" w:line="207" w:lineRule="atLeast"/>
        <w:rPr>
          <w:rFonts w:ascii="Verdana" w:eastAsia="Times New Roman" w:hAnsi="Verdana" w:cs="Times New Roman"/>
          <w:color w:val="000000"/>
          <w:sz w:val="24"/>
          <w:szCs w:val="24"/>
        </w:rPr>
      </w:pPr>
    </w:p>
    <w:tbl>
      <w:tblPr>
        <w:tblW w:w="0" w:type="auto"/>
        <w:tblCellSpacing w:w="15" w:type="dxa"/>
        <w:tblCellMar>
          <w:top w:w="15" w:type="dxa"/>
          <w:left w:w="15" w:type="dxa"/>
          <w:bottom w:w="15" w:type="dxa"/>
          <w:right w:w="15" w:type="dxa"/>
        </w:tblCellMar>
        <w:tblLook w:val="04A0"/>
      </w:tblPr>
      <w:tblGrid>
        <w:gridCol w:w="365"/>
        <w:gridCol w:w="9004"/>
        <w:gridCol w:w="81"/>
      </w:tblGrid>
      <w:tr w:rsidR="00102FA8" w:rsidRPr="00102FA8" w:rsidTr="00102FA8">
        <w:trPr>
          <w:tblCellSpacing w:w="15" w:type="dxa"/>
        </w:trPr>
        <w:tc>
          <w:tcPr>
            <w:tcW w:w="0" w:type="auto"/>
            <w:tcMar>
              <w:top w:w="58" w:type="dxa"/>
              <w:left w:w="15" w:type="dxa"/>
              <w:bottom w:w="58" w:type="dxa"/>
              <w:right w:w="15" w:type="dxa"/>
            </w:tcMar>
            <w:hideMark/>
          </w:tcPr>
          <w:p w:rsidR="00102FA8" w:rsidRPr="00102FA8" w:rsidRDefault="00102FA8" w:rsidP="00102FA8">
            <w:pPr>
              <w:spacing w:after="0" w:line="207" w:lineRule="atLeast"/>
              <w:rPr>
                <w:rFonts w:ascii="Verdana" w:eastAsia="Times New Roman" w:hAnsi="Verdana" w:cs="Times New Roman"/>
                <w:color w:val="000000"/>
                <w:sz w:val="24"/>
                <w:szCs w:val="24"/>
              </w:rPr>
            </w:pPr>
            <w:r w:rsidRPr="00102FA8">
              <w:rPr>
                <w:rFonts w:ascii="Verdana" w:eastAsia="Times New Roman" w:hAnsi="Verdana" w:cs="Times New Roman"/>
                <w:color w:val="000000"/>
                <w:sz w:val="24"/>
                <w:szCs w:val="24"/>
              </w:rPr>
              <w:t xml:space="preserve">      </w:t>
            </w:r>
          </w:p>
        </w:tc>
        <w:tc>
          <w:tcPr>
            <w:tcW w:w="0" w:type="auto"/>
            <w:tcMar>
              <w:top w:w="58" w:type="dxa"/>
              <w:left w:w="15" w:type="dxa"/>
              <w:bottom w:w="58" w:type="dxa"/>
              <w:right w:w="15" w:type="dxa"/>
            </w:tcMar>
            <w:hideMark/>
          </w:tcPr>
          <w:p w:rsidR="00102FA8" w:rsidRPr="00102FA8" w:rsidRDefault="00102FA8" w:rsidP="00102FA8">
            <w:pPr>
              <w:spacing w:before="100" w:beforeAutospacing="1" w:after="100" w:afterAutospacing="1" w:line="207" w:lineRule="atLeast"/>
              <w:textAlignment w:val="center"/>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Establish attention</w:t>
            </w:r>
            <w:r w:rsidRPr="00102FA8">
              <w:rPr>
                <w:rFonts w:ascii="Verdana" w:eastAsia="Times New Roman" w:hAnsi="Verdana" w:cs="Times New Roman"/>
                <w:color w:val="000000"/>
                <w:sz w:val="20"/>
                <w:szCs w:val="20"/>
              </w:rPr>
              <w:br/>
              <w:t xml:space="preserve">Looking helps students establish attention better than just listening. Once they have focused their attention, the rest of the communication message can get in.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Give information</w:t>
            </w:r>
            <w:r w:rsidRPr="00102FA8">
              <w:rPr>
                <w:rFonts w:ascii="Verdana" w:eastAsia="Times New Roman" w:hAnsi="Verdana" w:cs="Times New Roman"/>
                <w:color w:val="000000"/>
                <w:sz w:val="20"/>
                <w:szCs w:val="20"/>
              </w:rPr>
              <w:br/>
              <w:t xml:space="preserve">How do students get information to answer the who, what, why, where, when questions?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Explain social situations</w:t>
            </w:r>
            <w:r w:rsidRPr="00102FA8">
              <w:rPr>
                <w:rFonts w:ascii="Verdana" w:eastAsia="Times New Roman" w:hAnsi="Verdana" w:cs="Times New Roman"/>
                <w:color w:val="000000"/>
                <w:sz w:val="20"/>
                <w:szCs w:val="20"/>
              </w:rPr>
              <w:br/>
              <w:t xml:space="preserve">The social world can be confusing. People are moving, changing and often unpredictable. Sharing social information both verbally and through writing helps students understand.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Give choices</w:t>
            </w:r>
            <w:r w:rsidRPr="00102FA8">
              <w:rPr>
                <w:rFonts w:ascii="Verdana" w:eastAsia="Times New Roman" w:hAnsi="Verdana" w:cs="Times New Roman"/>
                <w:color w:val="000000"/>
                <w:sz w:val="20"/>
                <w:szCs w:val="20"/>
              </w:rPr>
              <w:br/>
              <w:t xml:space="preserve">How do students know what the options are? What is available? What is not available?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Give structure to the day</w:t>
            </w:r>
            <w:r w:rsidRPr="00102FA8">
              <w:rPr>
                <w:rFonts w:ascii="Verdana" w:eastAsia="Times New Roman" w:hAnsi="Verdana" w:cs="Times New Roman"/>
                <w:color w:val="000000"/>
                <w:sz w:val="20"/>
                <w:szCs w:val="20"/>
              </w:rPr>
              <w:br/>
              <w:t xml:space="preserve">Telling what is happening or what is not happening. Sharing the big picture tends to reduce anxiety.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Teach routines</w:t>
            </w:r>
            <w:r w:rsidRPr="00102FA8">
              <w:rPr>
                <w:rFonts w:ascii="Verdana" w:eastAsia="Times New Roman" w:hAnsi="Verdana" w:cs="Times New Roman"/>
                <w:color w:val="000000"/>
                <w:sz w:val="20"/>
                <w:szCs w:val="20"/>
              </w:rPr>
              <w:br/>
              <w:t xml:space="preserve">Following multiple steps in a routine will be easier when the student can see what they are. They will learn a routine faster when they don’t make a lot of mistakes.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Organize materials in the environment</w:t>
            </w:r>
            <w:r w:rsidRPr="00102FA8">
              <w:rPr>
                <w:rFonts w:ascii="Verdana" w:eastAsia="Times New Roman" w:hAnsi="Verdana" w:cs="Times New Roman"/>
                <w:color w:val="000000"/>
                <w:sz w:val="20"/>
                <w:szCs w:val="20"/>
              </w:rPr>
              <w:br/>
              <w:t xml:space="preserve">Where are the things we need? Is it clear where to put supplies away when it is clean up time?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Organize the space in the environment</w:t>
            </w:r>
            <w:r w:rsidRPr="00102FA8">
              <w:rPr>
                <w:rFonts w:ascii="Verdana" w:eastAsia="Times New Roman" w:hAnsi="Verdana" w:cs="Times New Roman"/>
                <w:color w:val="000000"/>
                <w:sz w:val="20"/>
                <w:szCs w:val="20"/>
              </w:rPr>
              <w:br/>
              <w:t xml:space="preserve">Can the student identify his own space to work or play or sit? Which parts of the environment can he use and which parts are “off limits.”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Teach new skills</w:t>
            </w:r>
            <w:r w:rsidRPr="00102FA8">
              <w:rPr>
                <w:rFonts w:ascii="Verdana" w:eastAsia="Times New Roman" w:hAnsi="Verdana" w:cs="Times New Roman"/>
                <w:color w:val="000000"/>
                <w:sz w:val="20"/>
                <w:szCs w:val="20"/>
              </w:rPr>
              <w:br/>
              <w:t xml:space="preserve">Learning to operate a new toy or piece of equipment. Learning a new task or academic skill.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Support transitions</w:t>
            </w:r>
            <w:r w:rsidRPr="00102FA8">
              <w:rPr>
                <w:rFonts w:ascii="Verdana" w:eastAsia="Times New Roman" w:hAnsi="Verdana" w:cs="Times New Roman"/>
                <w:color w:val="000000"/>
                <w:sz w:val="20"/>
                <w:szCs w:val="20"/>
              </w:rPr>
              <w:br/>
              <w:t xml:space="preserve">Stopping one activity to start another. Moving from one environment to another. Anything that involves a shift or change.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Stay on task</w:t>
            </w:r>
            <w:r w:rsidRPr="00102FA8">
              <w:rPr>
                <w:rFonts w:ascii="Verdana" w:eastAsia="Times New Roman" w:hAnsi="Verdana" w:cs="Times New Roman"/>
                <w:color w:val="000000"/>
                <w:sz w:val="20"/>
                <w:szCs w:val="20"/>
              </w:rPr>
              <w:br/>
              <w:t xml:space="preserve">Remembering what the current activity is and staying involved with it until it is </w:t>
            </w:r>
            <w:r w:rsidRPr="00102FA8">
              <w:rPr>
                <w:rFonts w:ascii="Verdana" w:eastAsia="Times New Roman" w:hAnsi="Verdana" w:cs="Times New Roman"/>
                <w:color w:val="000000"/>
                <w:sz w:val="20"/>
                <w:szCs w:val="20"/>
              </w:rPr>
              <w:lastRenderedPageBreak/>
              <w:t xml:space="preserve">completed. What does it mean to be “finished?”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Ignore distractions</w:t>
            </w:r>
            <w:r w:rsidRPr="00102FA8">
              <w:rPr>
                <w:rFonts w:ascii="Verdana" w:eastAsia="Times New Roman" w:hAnsi="Verdana" w:cs="Times New Roman"/>
                <w:color w:val="000000"/>
                <w:sz w:val="20"/>
                <w:szCs w:val="20"/>
              </w:rPr>
              <w:br/>
              <w:t xml:space="preserve">Help students consciously focus their attention on desired activities or interactions.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Manage time</w:t>
            </w:r>
            <w:r w:rsidRPr="00102FA8">
              <w:rPr>
                <w:rFonts w:ascii="Verdana" w:eastAsia="Times New Roman" w:hAnsi="Verdana" w:cs="Times New Roman"/>
                <w:color w:val="000000"/>
                <w:sz w:val="20"/>
                <w:szCs w:val="20"/>
              </w:rPr>
              <w:br/>
              <w:t xml:space="preserve">How long is 5 minutes or one hour? How much time is there before a transition in the schedule? Time is invisible. Timers and clocks turn time into something students can see . . . something concrete and visual.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Communicate rules</w:t>
            </w:r>
            <w:r w:rsidRPr="00102FA8">
              <w:rPr>
                <w:rFonts w:ascii="Verdana" w:eastAsia="Times New Roman" w:hAnsi="Verdana" w:cs="Times New Roman"/>
                <w:color w:val="000000"/>
                <w:sz w:val="20"/>
                <w:szCs w:val="20"/>
              </w:rPr>
              <w:br/>
              <w:t xml:space="preserve">People presume students know the rules. That is often not true. Perhaps they don’t remember. Or they don’t understand. Or they get too impulsive. Etc., etc.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Assist students in handling change</w:t>
            </w:r>
            <w:r w:rsidRPr="00102FA8">
              <w:rPr>
                <w:rFonts w:ascii="Verdana" w:eastAsia="Times New Roman" w:hAnsi="Verdana" w:cs="Times New Roman"/>
                <w:color w:val="000000"/>
                <w:sz w:val="20"/>
                <w:szCs w:val="20"/>
              </w:rPr>
              <w:br/>
              <w:t xml:space="preserve">Prepare for something that is going to change. Preparing students when something will be different from what they normally expect can prevent many problems from occurring.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Guide self-management</w:t>
            </w:r>
            <w:r w:rsidRPr="00102FA8">
              <w:rPr>
                <w:rFonts w:ascii="Verdana" w:eastAsia="Times New Roman" w:hAnsi="Verdana" w:cs="Times New Roman"/>
                <w:color w:val="000000"/>
                <w:sz w:val="20"/>
                <w:szCs w:val="20"/>
              </w:rPr>
              <w:br/>
              <w:t xml:space="preserve">Students need to learn how to manage themselves when they get anxious or encounter a problem.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Aid memory</w:t>
            </w:r>
            <w:r w:rsidRPr="00102FA8">
              <w:rPr>
                <w:rFonts w:ascii="Verdana" w:eastAsia="Times New Roman" w:hAnsi="Verdana" w:cs="Times New Roman"/>
                <w:color w:val="000000"/>
                <w:sz w:val="20"/>
                <w:szCs w:val="20"/>
              </w:rPr>
              <w:br/>
              <w:t xml:space="preserve">Remembering what to do or when to do it. Remembering the name of an object or a person. (Think about how many ways you provide cues for yourself for this one!)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Speed up slow thinking</w:t>
            </w:r>
            <w:r w:rsidRPr="00102FA8">
              <w:rPr>
                <w:rFonts w:ascii="Verdana" w:eastAsia="Times New Roman" w:hAnsi="Verdana" w:cs="Times New Roman"/>
                <w:color w:val="000000"/>
                <w:sz w:val="20"/>
                <w:szCs w:val="20"/>
              </w:rPr>
              <w:br/>
              <w:t xml:space="preserve">Some students have lots of information in their brains, but it takes them a very long time to access it. Visual cues can speed that process.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Support language retrieval</w:t>
            </w:r>
            <w:r w:rsidRPr="00102FA8">
              <w:rPr>
                <w:rFonts w:ascii="Verdana" w:eastAsia="Times New Roman" w:hAnsi="Verdana" w:cs="Times New Roman"/>
                <w:color w:val="000000"/>
                <w:sz w:val="20"/>
                <w:szCs w:val="20"/>
              </w:rPr>
              <w:br/>
              <w:t xml:space="preserve">Did you ever have an experience where you know someone’s name but you just can’t remember it? Or you know what something is but can’t recall the word? Once you hear it or see it you instantly remember. (The older we are, the worse it becomes!) Students can experience the same challenges in remembering and word retrieval.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Provide structure</w:t>
            </w:r>
            <w:r w:rsidRPr="00102FA8">
              <w:rPr>
                <w:rFonts w:ascii="Verdana" w:eastAsia="Times New Roman" w:hAnsi="Verdana" w:cs="Times New Roman"/>
                <w:color w:val="000000"/>
                <w:sz w:val="20"/>
                <w:szCs w:val="20"/>
              </w:rPr>
              <w:br/>
              <w:t xml:space="preserve">Structure means organized and predictable. Many students function better in environments where things don’t change much. Strive for an environment that provides visual organization and information.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Learn vocabulary</w:t>
            </w:r>
            <w:r w:rsidRPr="00102FA8">
              <w:rPr>
                <w:rFonts w:ascii="Verdana" w:eastAsia="Times New Roman" w:hAnsi="Verdana" w:cs="Times New Roman"/>
                <w:color w:val="000000"/>
                <w:sz w:val="20"/>
                <w:szCs w:val="20"/>
              </w:rPr>
              <w:br/>
              <w:t xml:space="preserve">Create a personal dictionary with pictures and words of important vocabulary: peoples’ names, favorite toys or videos or activities or places. Students will learn that information when they can access it over and over.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Communicate emotions</w:t>
            </w:r>
            <w:r w:rsidRPr="00102FA8">
              <w:rPr>
                <w:rFonts w:ascii="Verdana" w:eastAsia="Times New Roman" w:hAnsi="Verdana" w:cs="Times New Roman"/>
                <w:color w:val="000000"/>
                <w:sz w:val="20"/>
                <w:szCs w:val="20"/>
              </w:rPr>
              <w:br/>
              <w:t xml:space="preserve">Students demonstrate a variety of emotions with their actions. Translating those responses into pictures or written language gives an opportunity to explain, clarify or validate their experience.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Clarify verbal information</w:t>
            </w:r>
            <w:r w:rsidRPr="00102FA8">
              <w:rPr>
                <w:rFonts w:ascii="Verdana" w:eastAsia="Times New Roman" w:hAnsi="Verdana" w:cs="Times New Roman"/>
                <w:color w:val="000000"/>
                <w:sz w:val="20"/>
                <w:szCs w:val="20"/>
              </w:rPr>
              <w:br/>
              <w:t xml:space="preserve">What I understood might not be what you meant. Making it visual helps clarify our conversation. It eliminates the confusion.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Organize life information</w:t>
            </w:r>
            <w:r w:rsidRPr="00102FA8">
              <w:rPr>
                <w:rFonts w:ascii="Verdana" w:eastAsia="Times New Roman" w:hAnsi="Verdana" w:cs="Times New Roman"/>
                <w:color w:val="000000"/>
                <w:sz w:val="20"/>
                <w:szCs w:val="20"/>
              </w:rPr>
              <w:br/>
              <w:t xml:space="preserve">Think of phone numbers, calendars, cooking instructions, shopping lists, social security numbers, appointments, etc. </w:t>
            </w:r>
          </w:p>
          <w:p w:rsidR="00102FA8" w:rsidRPr="00102FA8" w:rsidRDefault="00102FA8" w:rsidP="00102FA8">
            <w:pPr>
              <w:numPr>
                <w:ilvl w:val="0"/>
                <w:numId w:val="1"/>
              </w:numPr>
              <w:spacing w:before="100" w:beforeAutospacing="1" w:after="100" w:afterAutospacing="1" w:line="207" w:lineRule="atLeast"/>
              <w:ind w:left="893"/>
              <w:rPr>
                <w:rFonts w:ascii="Verdana" w:eastAsia="Times New Roman" w:hAnsi="Verdana" w:cs="Times New Roman"/>
                <w:color w:val="000000"/>
                <w:sz w:val="20"/>
                <w:szCs w:val="20"/>
              </w:rPr>
            </w:pPr>
            <w:r w:rsidRPr="00102FA8">
              <w:rPr>
                <w:rFonts w:ascii="Verdana" w:eastAsia="Times New Roman" w:hAnsi="Verdana" w:cs="Times New Roman"/>
                <w:b/>
                <w:bCs/>
                <w:color w:val="000000"/>
                <w:sz w:val="20"/>
              </w:rPr>
              <w:t>Review &amp; remember</w:t>
            </w:r>
            <w:r w:rsidRPr="00102FA8">
              <w:rPr>
                <w:rFonts w:ascii="Verdana" w:eastAsia="Times New Roman" w:hAnsi="Verdana" w:cs="Times New Roman"/>
                <w:color w:val="000000"/>
                <w:sz w:val="20"/>
                <w:szCs w:val="20"/>
              </w:rPr>
              <w:br/>
              <w:t xml:space="preserve">One of the greatest benefits of making something visual is that you can keep it. Verbal language flies away. It disappears. Keeping the visual information to </w:t>
            </w:r>
            <w:r w:rsidRPr="00102FA8">
              <w:rPr>
                <w:rFonts w:ascii="Verdana" w:eastAsia="Times New Roman" w:hAnsi="Verdana" w:cs="Times New Roman"/>
                <w:color w:val="000000"/>
                <w:sz w:val="20"/>
                <w:szCs w:val="20"/>
              </w:rPr>
              <w:lastRenderedPageBreak/>
              <w:t xml:space="preserve">review over and over helps students remember and understand. </w:t>
            </w:r>
          </w:p>
        </w:tc>
        <w:tc>
          <w:tcPr>
            <w:tcW w:w="0" w:type="auto"/>
            <w:tcMar>
              <w:top w:w="58" w:type="dxa"/>
              <w:left w:w="15" w:type="dxa"/>
              <w:bottom w:w="58" w:type="dxa"/>
              <w:right w:w="15" w:type="dxa"/>
            </w:tcMar>
            <w:hideMark/>
          </w:tcPr>
          <w:p w:rsidR="00102FA8" w:rsidRPr="00102FA8" w:rsidRDefault="00102FA8" w:rsidP="00102FA8">
            <w:pPr>
              <w:spacing w:after="0" w:line="207" w:lineRule="atLeast"/>
              <w:rPr>
                <w:rFonts w:ascii="Verdana" w:eastAsia="Times New Roman" w:hAnsi="Verdana" w:cs="Times New Roman"/>
                <w:color w:val="000000"/>
                <w:sz w:val="24"/>
                <w:szCs w:val="24"/>
              </w:rPr>
            </w:pPr>
          </w:p>
        </w:tc>
      </w:tr>
    </w:tbl>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lastRenderedPageBreak/>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xml:space="preserve">Giving information to students in a concrete visual form helps them handle the many happenings during a day that can cause confusion or frustration. It gives them the structure necessary to better handle situations that are difficult for them.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Visual strategies provide a way for students to participate more independently in their life activities.</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Count the ways that your students receive visual support consistently in their communication environments. Did you think of any new ideas to try?</w:t>
      </w:r>
    </w:p>
    <w:p w:rsidR="00102FA8" w:rsidRPr="00102FA8" w:rsidRDefault="00102FA8" w:rsidP="00102FA8">
      <w:pPr>
        <w:spacing w:before="100" w:beforeAutospacing="1" w:after="100" w:afterAutospacing="1" w:line="207" w:lineRule="atLeast"/>
        <w:rPr>
          <w:rFonts w:ascii="Verdana" w:eastAsia="Times New Roman" w:hAnsi="Verdana" w:cs="Times New Roman"/>
          <w:color w:val="000000"/>
        </w:rPr>
      </w:pPr>
      <w:r w:rsidRPr="00102FA8">
        <w:rPr>
          <w:rFonts w:ascii="Verdana" w:eastAsia="Times New Roman" w:hAnsi="Verdana" w:cs="Times New Roman"/>
          <w:color w:val="000000"/>
        </w:rPr>
        <w:t> </w:t>
      </w:r>
    </w:p>
    <w:p w:rsidR="00102FA8" w:rsidRPr="00102FA8" w:rsidRDefault="00102FA8" w:rsidP="00102FA8">
      <w:pPr>
        <w:spacing w:before="100" w:beforeAutospacing="1" w:after="100" w:afterAutospacing="1" w:line="207" w:lineRule="atLeast"/>
        <w:ind w:right="-122"/>
        <w:rPr>
          <w:rFonts w:ascii="Verdana" w:eastAsia="Times New Roman" w:hAnsi="Verdana" w:cs="Times New Roman"/>
          <w:color w:val="000000"/>
        </w:rPr>
      </w:pPr>
      <w:r w:rsidRPr="00102FA8">
        <w:rPr>
          <w:rFonts w:ascii="Verdana" w:eastAsia="Times New Roman" w:hAnsi="Verdana" w:cs="Times New Roman"/>
          <w:b/>
          <w:bCs/>
          <w:color w:val="000000"/>
          <w:sz w:val="18"/>
        </w:rPr>
        <w:t xml:space="preserve">Linda Hodgdon, M.ED., CCC-SLP is a Speech Pathologist and consultant for Autism Spectrum Disorders. She is the author of the best seller, Visual Strategies for Improving Communication. To learn more or to sign up for her FREE E-newsletter, visit </w:t>
      </w:r>
      <w:hyperlink r:id="rId6" w:tooltip="UseVisualStrategies.com" w:history="1">
        <w:r w:rsidRPr="00102FA8">
          <w:rPr>
            <w:rFonts w:ascii="Times New Roman" w:eastAsia="Times New Roman" w:hAnsi="Times New Roman" w:cs="Times New Roman"/>
            <w:b/>
            <w:bCs/>
            <w:color w:val="570217"/>
            <w:sz w:val="15"/>
          </w:rPr>
          <w:t>www.UseVisualStrategies.com</w:t>
        </w:r>
      </w:hyperlink>
    </w:p>
    <w:p w:rsidR="00102FA8" w:rsidRPr="00102FA8" w:rsidRDefault="00102FA8" w:rsidP="00102FA8">
      <w:pPr>
        <w:spacing w:before="100" w:beforeAutospacing="1" w:after="100" w:afterAutospacing="1" w:line="207" w:lineRule="atLeast"/>
        <w:ind w:right="-122"/>
        <w:rPr>
          <w:rFonts w:ascii="Verdana" w:eastAsia="Times New Roman" w:hAnsi="Verdana" w:cs="Times New Roman"/>
          <w:color w:val="000000"/>
        </w:rPr>
      </w:pPr>
      <w:r w:rsidRPr="00102FA8">
        <w:rPr>
          <w:rFonts w:ascii="Verdana" w:eastAsia="Times New Roman" w:hAnsi="Verdana" w:cs="Times New Roman"/>
          <w:color w:val="000000"/>
        </w:rPr>
        <w:t> </w:t>
      </w:r>
    </w:p>
    <w:p w:rsidR="00D35CE8" w:rsidRDefault="00D35CE8"/>
    <w:sectPr w:rsidR="00D35CE8" w:rsidSect="00D35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52C3"/>
    <w:multiLevelType w:val="multilevel"/>
    <w:tmpl w:val="B622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102FA8"/>
    <w:rsid w:val="00102FA8"/>
    <w:rsid w:val="00BB0E48"/>
    <w:rsid w:val="00C677DD"/>
    <w:rsid w:val="00D35CE8"/>
    <w:rsid w:val="00FB3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E8"/>
  </w:style>
  <w:style w:type="paragraph" w:styleId="Heading2">
    <w:name w:val="heading 2"/>
    <w:basedOn w:val="Normal"/>
    <w:link w:val="Heading2Char"/>
    <w:uiPriority w:val="9"/>
    <w:qFormat/>
    <w:rsid w:val="00102FA8"/>
    <w:pPr>
      <w:spacing w:before="100" w:beforeAutospacing="1" w:after="100" w:afterAutospacing="1" w:line="240" w:lineRule="auto"/>
      <w:jc w:val="center"/>
      <w:outlineLvl w:val="1"/>
    </w:pPr>
    <w:rPr>
      <w:rFonts w:ascii="Verdana" w:eastAsia="Times New Roman" w:hAnsi="Verdana"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2FA8"/>
    <w:rPr>
      <w:rFonts w:ascii="Verdana" w:eastAsia="Times New Roman" w:hAnsi="Verdana" w:cs="Times New Roman"/>
      <w:sz w:val="26"/>
      <w:szCs w:val="26"/>
    </w:rPr>
  </w:style>
  <w:style w:type="character" w:styleId="Hyperlink">
    <w:name w:val="Hyperlink"/>
    <w:basedOn w:val="DefaultParagraphFont"/>
    <w:uiPriority w:val="99"/>
    <w:semiHidden/>
    <w:unhideWhenUsed/>
    <w:rsid w:val="00102FA8"/>
    <w:rPr>
      <w:strike w:val="0"/>
      <w:dstrike w:val="0"/>
      <w:color w:val="570217"/>
      <w:sz w:val="20"/>
      <w:szCs w:val="20"/>
      <w:u w:val="none"/>
      <w:effect w:val="none"/>
    </w:rPr>
  </w:style>
  <w:style w:type="character" w:styleId="Strong">
    <w:name w:val="Strong"/>
    <w:basedOn w:val="DefaultParagraphFont"/>
    <w:uiPriority w:val="22"/>
    <w:qFormat/>
    <w:rsid w:val="00102FA8"/>
    <w:rPr>
      <w:b/>
      <w:bCs/>
    </w:rPr>
  </w:style>
  <w:style w:type="paragraph" w:styleId="NormalWeb">
    <w:name w:val="Normal (Web)"/>
    <w:basedOn w:val="Normal"/>
    <w:uiPriority w:val="99"/>
    <w:unhideWhenUsed/>
    <w:rsid w:val="00102FA8"/>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923406">
      <w:bodyDiv w:val="1"/>
      <w:marLeft w:val="0"/>
      <w:marRight w:val="0"/>
      <w:marTop w:val="0"/>
      <w:marBottom w:val="0"/>
      <w:divBdr>
        <w:top w:val="none" w:sz="0" w:space="0" w:color="auto"/>
        <w:left w:val="none" w:sz="0" w:space="0" w:color="auto"/>
        <w:bottom w:val="none" w:sz="0" w:space="0" w:color="auto"/>
        <w:right w:val="none" w:sz="0" w:space="0" w:color="auto"/>
      </w:divBdr>
      <w:divsChild>
        <w:div w:id="170998115">
          <w:marLeft w:val="0"/>
          <w:marRight w:val="0"/>
          <w:marTop w:val="115"/>
          <w:marBottom w:val="115"/>
          <w:divBdr>
            <w:top w:val="none" w:sz="0" w:space="0" w:color="auto"/>
            <w:left w:val="none" w:sz="0" w:space="0" w:color="auto"/>
            <w:bottom w:val="none" w:sz="0" w:space="0" w:color="auto"/>
            <w:right w:val="none" w:sz="0" w:space="0" w:color="auto"/>
          </w:divBdr>
          <w:divsChild>
            <w:div w:id="2085949141">
              <w:marLeft w:val="58"/>
              <w:marRight w:val="58"/>
              <w:marTop w:val="0"/>
              <w:marBottom w:val="5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evisualstrategies.com/Welcome.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5108</Characters>
  <Application>Microsoft Office Word</Application>
  <DocSecurity>0</DocSecurity>
  <Lines>42</Lines>
  <Paragraphs>11</Paragraphs>
  <ScaleCrop>false</ScaleCrop>
  <Company>Kalamazoo RESA</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koneill</cp:lastModifiedBy>
  <cp:revision>2</cp:revision>
  <dcterms:created xsi:type="dcterms:W3CDTF">2012-09-06T14:51:00Z</dcterms:created>
  <dcterms:modified xsi:type="dcterms:W3CDTF">2012-09-06T14:51:00Z</dcterms:modified>
</cp:coreProperties>
</file>